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F11EC" w14:textId="7BDD8185" w:rsidR="00692C79" w:rsidRDefault="00692C79" w:rsidP="00692C79">
      <w:pPr>
        <w:spacing w:after="0" w:line="294" w:lineRule="atLeast"/>
        <w:jc w:val="center"/>
        <w:rPr>
          <w:rFonts w:ascii="Georgia" w:eastAsia="Georgia" w:hAnsi="Georgia" w:cs="Georgia"/>
          <w:color w:val="000000" w:themeColor="text1"/>
        </w:rPr>
      </w:pPr>
      <w:proofErr w:type="spellStart"/>
      <w:r>
        <w:rPr>
          <w:rFonts w:ascii="Georgia" w:eastAsia="Georgia" w:hAnsi="Georgia" w:cs="Georgia"/>
          <w:color w:val="000000" w:themeColor="text1"/>
        </w:rPr>
        <w:t>Sumarizare</w:t>
      </w:r>
      <w:proofErr w:type="spellEnd"/>
      <w:r>
        <w:rPr>
          <w:rFonts w:ascii="Georgia" w:eastAsia="Georgia" w:hAnsi="Georgia" w:cs="Georgia"/>
          <w:color w:val="000000" w:themeColor="text1"/>
        </w:rPr>
        <w:t xml:space="preserve"> Decizie ICCJ nr. 67/2026</w:t>
      </w:r>
    </w:p>
    <w:p w14:paraId="5EBB3FDB" w14:textId="77777777" w:rsidR="00692C79" w:rsidRDefault="00692C79" w:rsidP="00692C79">
      <w:pPr>
        <w:spacing w:after="0" w:line="294" w:lineRule="atLeast"/>
        <w:jc w:val="center"/>
        <w:rPr>
          <w:rFonts w:ascii="Georgia" w:eastAsia="Georgia" w:hAnsi="Georgia" w:cs="Georgia"/>
          <w:color w:val="000000" w:themeColor="text1"/>
        </w:rPr>
      </w:pPr>
    </w:p>
    <w:p w14:paraId="4582CD6F" w14:textId="502F557A" w:rsidR="0019433D" w:rsidRPr="008222A1" w:rsidRDefault="11A3F43D" w:rsidP="00BE2D8D">
      <w:pPr>
        <w:spacing w:after="0" w:line="294" w:lineRule="atLeast"/>
        <w:jc w:val="both"/>
      </w:pPr>
      <w:r w:rsidRPr="65F13449">
        <w:rPr>
          <w:rFonts w:ascii="Georgia" w:eastAsia="Georgia" w:hAnsi="Georgia" w:cs="Georgia"/>
          <w:color w:val="000000" w:themeColor="text1"/>
        </w:rPr>
        <w:t xml:space="preserve">În Monitorul Oficial nr. 580 din data de 15.07.2026 a fost publicată </w:t>
      </w:r>
      <w:r w:rsidR="1F8B4D4E" w:rsidRPr="65F13449">
        <w:rPr>
          <w:rFonts w:ascii="Georgia" w:eastAsia="Georgia" w:hAnsi="Georgia" w:cs="Georgia"/>
          <w:color w:val="000000" w:themeColor="text1"/>
        </w:rPr>
        <w:t>Decizi</w:t>
      </w:r>
      <w:r w:rsidR="7BE24954" w:rsidRPr="65F13449">
        <w:rPr>
          <w:rFonts w:ascii="Georgia" w:eastAsia="Georgia" w:hAnsi="Georgia" w:cs="Georgia"/>
          <w:color w:val="000000" w:themeColor="text1"/>
        </w:rPr>
        <w:t>a</w:t>
      </w:r>
      <w:r w:rsidR="1F8B4D4E" w:rsidRPr="65F13449">
        <w:rPr>
          <w:rFonts w:ascii="Georgia" w:eastAsia="Georgia" w:hAnsi="Georgia" w:cs="Georgia"/>
          <w:color w:val="000000" w:themeColor="text1"/>
        </w:rPr>
        <w:t xml:space="preserve"> Înaltei Curți de Casație și Justiție nr. 67/04.05.2026 (”</w:t>
      </w:r>
      <w:r w:rsidR="1F8B4D4E" w:rsidRPr="65F13449">
        <w:rPr>
          <w:rFonts w:ascii="Georgia" w:eastAsia="Georgia" w:hAnsi="Georgia" w:cs="Georgia"/>
          <w:b/>
          <w:bCs/>
          <w:color w:val="000000" w:themeColor="text1"/>
        </w:rPr>
        <w:t>Decizia ICCJ nr. 67/2026</w:t>
      </w:r>
      <w:r w:rsidR="1F8B4D4E" w:rsidRPr="65F13449">
        <w:rPr>
          <w:rFonts w:ascii="Georgia" w:eastAsia="Georgia" w:hAnsi="Georgia" w:cs="Georgia"/>
          <w:color w:val="000000" w:themeColor="text1"/>
        </w:rPr>
        <w:t>”) referitoare la interpretarea noțiunii de „</w:t>
      </w:r>
      <w:r w:rsidR="1F8B4D4E" w:rsidRPr="65F13449">
        <w:rPr>
          <w:rFonts w:ascii="Georgia" w:eastAsia="Georgia" w:hAnsi="Georgia" w:cs="Georgia"/>
          <w:i/>
          <w:iCs/>
          <w:color w:val="000000" w:themeColor="text1"/>
        </w:rPr>
        <w:t>activitate economică</w:t>
      </w:r>
      <w:r w:rsidR="1F8B4D4E" w:rsidRPr="65F13449">
        <w:rPr>
          <w:rFonts w:ascii="Georgia" w:eastAsia="Georgia" w:hAnsi="Georgia" w:cs="Georgia"/>
          <w:color w:val="000000" w:themeColor="text1"/>
        </w:rPr>
        <w:t xml:space="preserve">” din cuprinsul art. 456 alin. (1) lit. h) din Legea nr. 227/2015 privind Codul fiscal, cu modificările </w:t>
      </w:r>
      <w:proofErr w:type="spellStart"/>
      <w:r w:rsidR="1F8B4D4E" w:rsidRPr="65F13449">
        <w:rPr>
          <w:rFonts w:ascii="Georgia" w:eastAsia="Georgia" w:hAnsi="Georgia" w:cs="Georgia"/>
          <w:color w:val="000000" w:themeColor="text1"/>
        </w:rPr>
        <w:t>şi</w:t>
      </w:r>
      <w:proofErr w:type="spellEnd"/>
      <w:r w:rsidR="1F8B4D4E" w:rsidRPr="65F13449">
        <w:rPr>
          <w:rFonts w:ascii="Georgia" w:eastAsia="Georgia" w:hAnsi="Georgia" w:cs="Georgia"/>
          <w:color w:val="000000" w:themeColor="text1"/>
        </w:rPr>
        <w:t xml:space="preserve"> completările ulterioare („</w:t>
      </w:r>
      <w:r w:rsidR="1F8B4D4E" w:rsidRPr="65F13449">
        <w:rPr>
          <w:rFonts w:ascii="Georgia" w:eastAsia="Georgia" w:hAnsi="Georgia" w:cs="Georgia"/>
          <w:b/>
          <w:bCs/>
          <w:color w:val="000000" w:themeColor="text1"/>
        </w:rPr>
        <w:t>Codul fiscal</w:t>
      </w:r>
      <w:r w:rsidR="1F8B4D4E" w:rsidRPr="65F13449">
        <w:rPr>
          <w:rFonts w:ascii="Georgia" w:eastAsia="Georgia" w:hAnsi="Georgia" w:cs="Georgia"/>
          <w:color w:val="000000" w:themeColor="text1"/>
        </w:rPr>
        <w:t xml:space="preserve">”), astfel cum a fost modificat prin Ordonanța de Urgență nr. 168/2022 privind unele măsuri fiscal-bugetare, prorogarea unor termene, precum </w:t>
      </w:r>
      <w:proofErr w:type="spellStart"/>
      <w:r w:rsidR="1F8B4D4E" w:rsidRPr="65F13449">
        <w:rPr>
          <w:rFonts w:ascii="Georgia" w:eastAsia="Georgia" w:hAnsi="Georgia" w:cs="Georgia"/>
          <w:color w:val="000000" w:themeColor="text1"/>
        </w:rPr>
        <w:t>şi</w:t>
      </w:r>
      <w:proofErr w:type="spellEnd"/>
      <w:r w:rsidR="1F8B4D4E" w:rsidRPr="65F13449">
        <w:rPr>
          <w:rFonts w:ascii="Georgia" w:eastAsia="Georgia" w:hAnsi="Georgia" w:cs="Georgia"/>
          <w:color w:val="000000" w:themeColor="text1"/>
        </w:rPr>
        <w:t xml:space="preserve"> pentru modificarea </w:t>
      </w:r>
      <w:proofErr w:type="spellStart"/>
      <w:r w:rsidR="1F8B4D4E" w:rsidRPr="65F13449">
        <w:rPr>
          <w:rFonts w:ascii="Georgia" w:eastAsia="Georgia" w:hAnsi="Georgia" w:cs="Georgia"/>
          <w:color w:val="000000" w:themeColor="text1"/>
        </w:rPr>
        <w:t>şi</w:t>
      </w:r>
      <w:proofErr w:type="spellEnd"/>
      <w:r w:rsidR="1F8B4D4E" w:rsidRPr="65F13449">
        <w:rPr>
          <w:rFonts w:ascii="Georgia" w:eastAsia="Georgia" w:hAnsi="Georgia" w:cs="Georgia"/>
          <w:color w:val="000000" w:themeColor="text1"/>
        </w:rPr>
        <w:t xml:space="preserve"> completarea unor acte normative, cu modificările </w:t>
      </w:r>
      <w:proofErr w:type="spellStart"/>
      <w:r w:rsidR="1F8B4D4E" w:rsidRPr="65F13449">
        <w:rPr>
          <w:rFonts w:ascii="Georgia" w:eastAsia="Georgia" w:hAnsi="Georgia" w:cs="Georgia"/>
          <w:color w:val="000000" w:themeColor="text1"/>
        </w:rPr>
        <w:t>şi</w:t>
      </w:r>
      <w:proofErr w:type="spellEnd"/>
      <w:r w:rsidR="1F8B4D4E" w:rsidRPr="65F13449">
        <w:rPr>
          <w:rFonts w:ascii="Georgia" w:eastAsia="Georgia" w:hAnsi="Georgia" w:cs="Georgia"/>
          <w:color w:val="000000" w:themeColor="text1"/>
        </w:rPr>
        <w:t xml:space="preserve"> completările ulterioare („</w:t>
      </w:r>
      <w:r w:rsidR="1F8B4D4E" w:rsidRPr="65F13449">
        <w:rPr>
          <w:rFonts w:ascii="Georgia" w:eastAsia="Georgia" w:hAnsi="Georgia" w:cs="Georgia"/>
          <w:b/>
          <w:bCs/>
          <w:color w:val="000000" w:themeColor="text1"/>
        </w:rPr>
        <w:t>OUG 168/2022</w:t>
      </w:r>
      <w:r w:rsidR="1F8B4D4E" w:rsidRPr="65F13449">
        <w:rPr>
          <w:rFonts w:ascii="Georgia" w:eastAsia="Georgia" w:hAnsi="Georgia" w:cs="Georgia"/>
          <w:color w:val="000000" w:themeColor="text1"/>
        </w:rPr>
        <w:t>”)</w:t>
      </w:r>
      <w:r w:rsidR="6A61AC67" w:rsidRPr="65F13449">
        <w:rPr>
          <w:rFonts w:ascii="Georgia" w:eastAsia="Georgia" w:hAnsi="Georgia" w:cs="Georgia"/>
          <w:color w:val="000000" w:themeColor="text1"/>
        </w:rPr>
        <w:t xml:space="preserve">, în vigoare în această formă până la data de </w:t>
      </w:r>
      <w:r w:rsidR="6A61AC67" w:rsidRPr="65F13449">
        <w:rPr>
          <w:rFonts w:ascii="Times New Roman" w:eastAsia="Times New Roman" w:hAnsi="Times New Roman" w:cs="Times New Roman"/>
          <w:color w:val="000000" w:themeColor="text1"/>
          <w:sz w:val="24"/>
          <w:szCs w:val="24"/>
        </w:rPr>
        <w:t xml:space="preserve">31 decembrie 2025 (i.e. </w:t>
      </w:r>
      <w:r w:rsidR="6A61AC67" w:rsidRPr="65F13449">
        <w:rPr>
          <w:rFonts w:ascii="Georgia" w:eastAsia="Georgia" w:hAnsi="Georgia" w:cs="Georgia"/>
          <w:color w:val="000000" w:themeColor="text1"/>
        </w:rPr>
        <w:t>până la intrarea în vigoare a Legii nr. 239/2025).</w:t>
      </w:r>
    </w:p>
    <w:p w14:paraId="27DD2A07" w14:textId="29820B33" w:rsidR="0019433D" w:rsidRPr="008222A1" w:rsidRDefault="0019433D" w:rsidP="00BE2D8D">
      <w:pPr>
        <w:spacing w:after="0" w:line="294" w:lineRule="atLeast"/>
        <w:jc w:val="both"/>
        <w:rPr>
          <w:rFonts w:ascii="Times New Roman" w:eastAsia="Times New Roman" w:hAnsi="Times New Roman" w:cs="Times New Roman"/>
          <w:color w:val="000000" w:themeColor="text1"/>
          <w:sz w:val="24"/>
          <w:szCs w:val="24"/>
        </w:rPr>
      </w:pPr>
    </w:p>
    <w:p w14:paraId="29A2658F" w14:textId="38EEEE64" w:rsidR="0019433D" w:rsidRPr="008222A1" w:rsidRDefault="6A61AC67" w:rsidP="00BE2D8D">
      <w:pPr>
        <w:spacing w:after="0" w:line="294" w:lineRule="atLeast"/>
        <w:jc w:val="both"/>
      </w:pPr>
      <w:r w:rsidRPr="65F13449">
        <w:rPr>
          <w:rFonts w:ascii="Times New Roman" w:eastAsia="Times New Roman" w:hAnsi="Times New Roman" w:cs="Times New Roman"/>
          <w:color w:val="000000" w:themeColor="text1"/>
          <w:sz w:val="24"/>
          <w:szCs w:val="24"/>
        </w:rPr>
        <w:t>Astfel, art. 456 alin. (1) lit. h) din Codul fiscal, astfel cum a fost modificat prin OUG 168/2022, menționa că </w:t>
      </w:r>
      <w:r w:rsidRPr="65F13449">
        <w:rPr>
          <w:rFonts w:ascii="Times New Roman" w:eastAsia="Times New Roman" w:hAnsi="Times New Roman" w:cs="Times New Roman"/>
          <w:b/>
          <w:bCs/>
          <w:color w:val="000000" w:themeColor="text1"/>
          <w:sz w:val="24"/>
          <w:szCs w:val="24"/>
        </w:rPr>
        <w:t>nu se datorează impozit pe clădiri pentru</w:t>
      </w:r>
      <w:r w:rsidRPr="65F13449">
        <w:rPr>
          <w:rFonts w:ascii="Times New Roman" w:eastAsia="Times New Roman" w:hAnsi="Times New Roman" w:cs="Times New Roman"/>
          <w:color w:val="000000" w:themeColor="text1"/>
          <w:sz w:val="24"/>
          <w:szCs w:val="24"/>
        </w:rPr>
        <w:t> "</w:t>
      </w:r>
      <w:r w:rsidRPr="65F13449">
        <w:rPr>
          <w:rFonts w:ascii="Times New Roman" w:eastAsia="Times New Roman" w:hAnsi="Times New Roman" w:cs="Times New Roman"/>
          <w:i/>
          <w:iCs/>
          <w:color w:val="000000" w:themeColor="text1"/>
          <w:sz w:val="24"/>
          <w:szCs w:val="24"/>
          <w:u w:val="single"/>
        </w:rPr>
        <w:t>clădirile unităților sanitare publice si private, cu excepția încăperilor folosite pentru activități economice</w:t>
      </w:r>
      <w:r w:rsidRPr="65F13449">
        <w:rPr>
          <w:rFonts w:ascii="Times New Roman" w:eastAsia="Times New Roman" w:hAnsi="Times New Roman" w:cs="Times New Roman"/>
          <w:i/>
          <w:iCs/>
          <w:color w:val="000000" w:themeColor="text1"/>
          <w:sz w:val="24"/>
          <w:szCs w:val="24"/>
        </w:rPr>
        <w:t xml:space="preserve">, (...)". </w:t>
      </w:r>
    </w:p>
    <w:p w14:paraId="23D9D05D" w14:textId="79CC879A" w:rsidR="0019433D" w:rsidRPr="008222A1" w:rsidRDefault="0019433D" w:rsidP="00BE2D8D">
      <w:pPr>
        <w:spacing w:after="0" w:line="294" w:lineRule="atLeast"/>
        <w:jc w:val="both"/>
        <w:rPr>
          <w:rFonts w:ascii="Georgia" w:eastAsia="Georgia" w:hAnsi="Georgia" w:cs="Georgia"/>
          <w:color w:val="000000" w:themeColor="text1"/>
        </w:rPr>
      </w:pPr>
    </w:p>
    <w:p w14:paraId="7BDAC209" w14:textId="5F73A372" w:rsidR="0019433D" w:rsidRPr="008222A1" w:rsidRDefault="6A61AC67" w:rsidP="00BE2D8D">
      <w:pPr>
        <w:spacing w:after="0" w:line="294" w:lineRule="atLeast"/>
        <w:jc w:val="both"/>
      </w:pPr>
      <w:r w:rsidRPr="65F13449">
        <w:rPr>
          <w:rFonts w:ascii="Georgia" w:eastAsia="Georgia" w:hAnsi="Georgia" w:cs="Georgia"/>
          <w:color w:val="000000" w:themeColor="text1"/>
        </w:rPr>
        <w:t>Decizia ICCJ nr. 67/2026 aduce clarificări importante cu privire la interpretarea noțiunii de „activități economice” din cuprinsul art. 456 alin. (1) lit. h) Cod fiscal aplicabil în perioadele de până la data de 31 decembrie 2025 și stabilește c</w:t>
      </w:r>
      <w:r w:rsidR="4590B8EB" w:rsidRPr="65F13449">
        <w:rPr>
          <w:rFonts w:ascii="Georgia" w:eastAsia="Georgia" w:hAnsi="Georgia" w:cs="Georgia"/>
          <w:color w:val="000000" w:themeColor="text1"/>
        </w:rPr>
        <w:t>ă</w:t>
      </w:r>
      <w:r w:rsidR="1F8B4D4E" w:rsidRPr="65F13449">
        <w:rPr>
          <w:rFonts w:ascii="Georgia" w:eastAsia="Georgia" w:hAnsi="Georgia" w:cs="Georgia"/>
          <w:color w:val="000000" w:themeColor="text1"/>
        </w:rPr>
        <w:t xml:space="preserve"> </w:t>
      </w:r>
    </w:p>
    <w:p w14:paraId="03DCD72D" w14:textId="4FDC78C4" w:rsidR="0019433D" w:rsidRPr="008222A1" w:rsidRDefault="0019433D" w:rsidP="00BE2D8D">
      <w:pPr>
        <w:spacing w:after="0" w:line="294" w:lineRule="atLeast"/>
        <w:jc w:val="both"/>
        <w:rPr>
          <w:rFonts w:ascii="Georgia" w:eastAsia="Georgia" w:hAnsi="Georgia" w:cs="Georgia"/>
          <w:color w:val="000000" w:themeColor="text1"/>
        </w:rPr>
      </w:pPr>
    </w:p>
    <w:p w14:paraId="1302491A" w14:textId="1BC75BD0" w:rsidR="0019433D" w:rsidRPr="008222A1" w:rsidRDefault="71483978" w:rsidP="00BE2D8D">
      <w:pPr>
        <w:pStyle w:val="ListParagraph"/>
        <w:numPr>
          <w:ilvl w:val="0"/>
          <w:numId w:val="1"/>
        </w:numPr>
        <w:spacing w:after="0" w:line="294" w:lineRule="atLeast"/>
        <w:jc w:val="both"/>
        <w:rPr>
          <w:rFonts w:ascii="Georgia" w:eastAsia="Georgia" w:hAnsi="Georgia" w:cs="Georgia"/>
          <w:color w:val="000000" w:themeColor="text1"/>
        </w:rPr>
      </w:pPr>
      <w:r w:rsidRPr="65F13449">
        <w:rPr>
          <w:rFonts w:ascii="Georgia" w:eastAsia="Georgia" w:hAnsi="Georgia" w:cs="Georgia"/>
          <w:color w:val="000000" w:themeColor="text1"/>
        </w:rPr>
        <w:t>„</w:t>
      </w:r>
      <w:r w:rsidR="1F8B4D4E" w:rsidRPr="65F13449">
        <w:rPr>
          <w:rFonts w:ascii="Georgia" w:eastAsia="Georgia" w:hAnsi="Georgia" w:cs="Georgia"/>
          <w:i/>
          <w:iCs/>
          <w:color w:val="000000" w:themeColor="text1"/>
        </w:rPr>
        <w:t xml:space="preserve">atât timp cât unitățile sanitare private, prin obiectul acestora de activitate, respectiv prestare de servicii medicale, desfășoară activități economice, acestea sunt scutite de la plata impozitului pe clădiri, cu excepția </w:t>
      </w:r>
      <w:r w:rsidR="6A8B0728" w:rsidRPr="65F13449">
        <w:rPr>
          <w:rFonts w:ascii="Georgia" w:eastAsia="Georgia" w:hAnsi="Georgia" w:cs="Georgia"/>
          <w:i/>
          <w:iCs/>
          <w:color w:val="000000" w:themeColor="text1"/>
        </w:rPr>
        <w:t xml:space="preserve">situației în care există </w:t>
      </w:r>
      <w:r w:rsidR="1F8B4D4E" w:rsidRPr="65F13449">
        <w:rPr>
          <w:rFonts w:ascii="Georgia" w:eastAsia="Georgia" w:hAnsi="Georgia" w:cs="Georgia"/>
          <w:i/>
          <w:iCs/>
          <w:color w:val="000000" w:themeColor="text1"/>
        </w:rPr>
        <w:t>încăperi în care se desfășoară alt tip de activitate economică</w:t>
      </w:r>
      <w:r w:rsidR="1F8B4D4E" w:rsidRPr="65F13449">
        <w:rPr>
          <w:rFonts w:ascii="Georgia" w:eastAsia="Georgia" w:hAnsi="Georgia" w:cs="Georgia"/>
          <w:color w:val="000000" w:themeColor="text1"/>
        </w:rPr>
        <w:t>.</w:t>
      </w:r>
      <w:r w:rsidR="519E00A7" w:rsidRPr="65F13449">
        <w:rPr>
          <w:rFonts w:ascii="Georgia" w:eastAsia="Georgia" w:hAnsi="Georgia" w:cs="Georgia"/>
          <w:color w:val="000000" w:themeColor="text1"/>
        </w:rPr>
        <w:t>”</w:t>
      </w:r>
    </w:p>
    <w:p w14:paraId="2365573B" w14:textId="0232ADFF" w:rsidR="0019433D" w:rsidRPr="00BE2D8D" w:rsidRDefault="519E00A7" w:rsidP="00BE2D8D">
      <w:pPr>
        <w:pStyle w:val="ListParagraph"/>
        <w:numPr>
          <w:ilvl w:val="0"/>
          <w:numId w:val="1"/>
        </w:numPr>
        <w:spacing w:after="0" w:line="294" w:lineRule="atLeast"/>
        <w:jc w:val="both"/>
      </w:pPr>
      <w:r w:rsidRPr="65F13449">
        <w:rPr>
          <w:rFonts w:ascii="Georgia" w:eastAsia="Georgia" w:hAnsi="Georgia" w:cs="Georgia"/>
          <w:color w:val="000000" w:themeColor="text1"/>
        </w:rPr>
        <w:t>„</w:t>
      </w:r>
      <w:r w:rsidRPr="65F13449">
        <w:rPr>
          <w:rFonts w:ascii="Georgia" w:eastAsia="Georgia" w:hAnsi="Georgia" w:cs="Georgia"/>
          <w:i/>
          <w:iCs/>
          <w:color w:val="000000" w:themeColor="text1"/>
        </w:rPr>
        <w:t>interpretarea corectă a art. 456 alin. (1) lit. h) din Codul fiscal, astfel cum a fost modificat prin Ordonanța de urgență a Guvernului nr. 168/2022 și până la intrarea în vigoare a Legii nr. 239/2025, este aceea că noțiunea de „activitate economică” din cuprinsul sintagmei „cu excepția încăperilor folosite pentru activități economice” nu se referă la toate activitățile prestate de unitățile sanitare private, ci vizează alte activități decât furnizarea de servicii medicale către populație.</w:t>
      </w:r>
      <w:r w:rsidRPr="65F13449">
        <w:rPr>
          <w:rFonts w:ascii="Georgia" w:eastAsia="Georgia" w:hAnsi="Georgia" w:cs="Georgia"/>
          <w:color w:val="000000" w:themeColor="text1"/>
        </w:rPr>
        <w:t>”</w:t>
      </w:r>
    </w:p>
    <w:p w14:paraId="25BA39D3" w14:textId="77777777" w:rsidR="00BE2D8D" w:rsidRPr="008222A1" w:rsidRDefault="00BE2D8D" w:rsidP="00BE2D8D">
      <w:pPr>
        <w:pStyle w:val="ListParagraph"/>
        <w:spacing w:after="0" w:line="294" w:lineRule="atLeast"/>
        <w:jc w:val="both"/>
      </w:pPr>
    </w:p>
    <w:p w14:paraId="11C401F1" w14:textId="57F17983" w:rsidR="0019433D" w:rsidRDefault="6988A1E7" w:rsidP="00BE2D8D">
      <w:pPr>
        <w:shd w:val="clear" w:color="auto" w:fill="FFFFFF" w:themeFill="background1"/>
        <w:spacing w:after="0" w:line="294" w:lineRule="atLeast"/>
        <w:jc w:val="both"/>
        <w:rPr>
          <w:rFonts w:ascii="Georgia" w:eastAsia="Georgia" w:hAnsi="Georgia" w:cs="Georgia"/>
          <w:color w:val="000000" w:themeColor="text1"/>
        </w:rPr>
      </w:pPr>
      <w:r w:rsidRPr="65F13449">
        <w:rPr>
          <w:rFonts w:ascii="Georgia" w:eastAsia="Georgia" w:hAnsi="Georgia" w:cs="Georgia"/>
          <w:color w:val="000000" w:themeColor="text1"/>
        </w:rPr>
        <w:t>În ce privește implicațiile practice ale Deciziei nr. 67/2026 din perspectiva recuperării sumelor plătite cu titlu de impozit pe clădiri de unitățile sanitare private care furnizează servicii medicale, acestea diferă în funcție de perioada fiscală vizată. Astfel,</w:t>
      </w:r>
    </w:p>
    <w:p w14:paraId="359415C2" w14:textId="77777777" w:rsidR="00BE2D8D" w:rsidRPr="008222A1" w:rsidRDefault="00BE2D8D" w:rsidP="00BE2D8D">
      <w:pPr>
        <w:shd w:val="clear" w:color="auto" w:fill="FFFFFF" w:themeFill="background1"/>
        <w:spacing w:after="0" w:line="294" w:lineRule="atLeast"/>
        <w:jc w:val="both"/>
        <w:rPr>
          <w:rFonts w:ascii="Georgia" w:eastAsia="Georgia" w:hAnsi="Georgia" w:cs="Georgia"/>
          <w:color w:val="000000" w:themeColor="text1"/>
          <w:lang w:val="en-US"/>
        </w:rPr>
      </w:pPr>
    </w:p>
    <w:p w14:paraId="79DDD138" w14:textId="6452EC0D" w:rsidR="0019433D" w:rsidRPr="008222A1" w:rsidRDefault="6988A1E7" w:rsidP="00BE2D8D">
      <w:pPr>
        <w:pStyle w:val="ListParagraph"/>
        <w:numPr>
          <w:ilvl w:val="0"/>
          <w:numId w:val="2"/>
        </w:numPr>
        <w:shd w:val="clear" w:color="auto" w:fill="FFFFFF" w:themeFill="background1"/>
        <w:spacing w:after="0" w:line="294" w:lineRule="atLeast"/>
        <w:jc w:val="both"/>
        <w:rPr>
          <w:rFonts w:ascii="Georgia" w:eastAsia="Georgia" w:hAnsi="Georgia" w:cs="Georgia"/>
          <w:color w:val="000000" w:themeColor="text1"/>
          <w:lang w:val="en-US"/>
        </w:rPr>
      </w:pPr>
      <w:r w:rsidRPr="65F13449">
        <w:rPr>
          <w:rFonts w:ascii="Georgia" w:eastAsia="Georgia" w:hAnsi="Georgia" w:cs="Georgia"/>
          <w:b/>
          <w:bCs/>
          <w:color w:val="000000" w:themeColor="text1"/>
        </w:rPr>
        <w:t>Pentru anul 2022:</w:t>
      </w:r>
      <w:r w:rsidRPr="65F13449">
        <w:rPr>
          <w:rFonts w:ascii="Georgia" w:eastAsia="Georgia" w:hAnsi="Georgia" w:cs="Georgia"/>
          <w:color w:val="000000" w:themeColor="text1"/>
        </w:rPr>
        <w:t xml:space="preserve"> având în vedere că impozitul pe clădiri este un impozit anual, datorat pentru clădirile deținute la 31 decembrie a anului anterior, iar la data intrării în vigoare a OUG nr. 168/2022 (9 decembrie 2022) obligația fiscală aferentă anului 2022 era deja născută și stabilită, scutirea ar trebui să se aplice impozitului pe clădiri datorat începând cu anul 2023.</w:t>
      </w:r>
    </w:p>
    <w:p w14:paraId="025E56AF" w14:textId="544A8B6F" w:rsidR="0019433D" w:rsidRPr="008222A1" w:rsidRDefault="0019433D" w:rsidP="00BE2D8D">
      <w:pPr>
        <w:shd w:val="clear" w:color="auto" w:fill="FFFFFF" w:themeFill="background1"/>
        <w:spacing w:after="0" w:line="294" w:lineRule="atLeast"/>
        <w:ind w:left="720"/>
        <w:jc w:val="both"/>
        <w:rPr>
          <w:rFonts w:ascii="Georgia" w:eastAsia="Georgia" w:hAnsi="Georgia" w:cs="Georgia"/>
          <w:color w:val="000000" w:themeColor="text1"/>
          <w:lang w:val="en-US"/>
        </w:rPr>
      </w:pPr>
    </w:p>
    <w:p w14:paraId="7E3D24DC" w14:textId="66E624D5" w:rsidR="0019433D" w:rsidRPr="00BE2D8D" w:rsidRDefault="6988A1E7" w:rsidP="00BE2D8D">
      <w:pPr>
        <w:pStyle w:val="ListParagraph"/>
        <w:numPr>
          <w:ilvl w:val="0"/>
          <w:numId w:val="2"/>
        </w:numPr>
        <w:shd w:val="clear" w:color="auto" w:fill="FFFFFF" w:themeFill="background1"/>
        <w:spacing w:after="0" w:line="294" w:lineRule="atLeast"/>
        <w:jc w:val="both"/>
        <w:rPr>
          <w:rFonts w:ascii="Georgia" w:eastAsia="Georgia" w:hAnsi="Georgia" w:cs="Georgia"/>
          <w:color w:val="000000" w:themeColor="text1"/>
          <w:lang w:val="en-US"/>
        </w:rPr>
      </w:pPr>
      <w:r w:rsidRPr="65F13449">
        <w:rPr>
          <w:rFonts w:ascii="Georgia" w:eastAsia="Georgia" w:hAnsi="Georgia" w:cs="Georgia"/>
          <w:b/>
          <w:bCs/>
          <w:color w:val="000000" w:themeColor="text1"/>
        </w:rPr>
        <w:t>Pentru perioada fiscală 2023–2025, unitățile sanitare private care nu au fost supuse unor controale fiscale privind impozitul pe clădiri și, prin urmare, cărora nu li s-au emis acte de impunere</w:t>
      </w:r>
      <w:r w:rsidR="00B91E2C">
        <w:rPr>
          <w:rFonts w:ascii="Georgia" w:eastAsia="Georgia" w:hAnsi="Georgia" w:cs="Georgia"/>
          <w:b/>
          <w:bCs/>
          <w:color w:val="000000" w:themeColor="text1"/>
        </w:rPr>
        <w:t>,</w:t>
      </w:r>
      <w:r w:rsidR="00B91E2C" w:rsidRPr="00B91E2C">
        <w:rPr>
          <w:rFonts w:ascii="Georgia" w:eastAsia="Georgia" w:hAnsi="Georgia" w:cs="Georgia"/>
          <w:color w:val="000000" w:themeColor="text1"/>
        </w:rPr>
        <w:t xml:space="preserve"> </w:t>
      </w:r>
      <w:r w:rsidR="00B91E2C" w:rsidRPr="5BB95FA1">
        <w:rPr>
          <w:rFonts w:ascii="Georgia" w:eastAsia="Georgia" w:hAnsi="Georgia" w:cs="Georgia"/>
          <w:color w:val="000000" w:themeColor="text1"/>
        </w:rPr>
        <w:t xml:space="preserve">ar fi îndreptățite </w:t>
      </w:r>
      <w:r w:rsidR="00B91E2C" w:rsidRPr="00084CDC">
        <w:rPr>
          <w:rFonts w:ascii="Georgia" w:eastAsia="Georgia" w:hAnsi="Georgia" w:cs="Georgia"/>
          <w:color w:val="000000" w:themeColor="text1"/>
        </w:rPr>
        <w:t>să solicite restituirea sau compensarea (inclusiv cu obligații fiscale viitoare) a impozitului pe clădiri achitat, dar nedatorat</w:t>
      </w:r>
      <w:r w:rsidR="00B91E2C">
        <w:rPr>
          <w:rFonts w:ascii="Georgia" w:eastAsia="Georgia" w:hAnsi="Georgia" w:cs="Georgia"/>
          <w:color w:val="000000" w:themeColor="text1"/>
        </w:rPr>
        <w:t>, putând fi solicitată</w:t>
      </w:r>
      <w:r w:rsidR="00AB1E4F">
        <w:rPr>
          <w:rFonts w:ascii="Georgia" w:eastAsia="Georgia" w:hAnsi="Georgia" w:cs="Georgia"/>
          <w:color w:val="000000" w:themeColor="text1"/>
        </w:rPr>
        <w:t xml:space="preserve"> de către autoritățile locale</w:t>
      </w:r>
      <w:r w:rsidR="00B91E2C">
        <w:rPr>
          <w:rFonts w:ascii="Georgia" w:eastAsia="Georgia" w:hAnsi="Georgia" w:cs="Georgia"/>
          <w:color w:val="000000" w:themeColor="text1"/>
        </w:rPr>
        <w:t>, ca prim demers, depunerea unei declarații rectificative, după caz.</w:t>
      </w:r>
    </w:p>
    <w:p w14:paraId="3F7065C7" w14:textId="77777777" w:rsidR="00BE2D8D" w:rsidRPr="00BE2D8D" w:rsidRDefault="00BE2D8D" w:rsidP="00BE2D8D">
      <w:pPr>
        <w:pStyle w:val="ListParagraph"/>
        <w:rPr>
          <w:rFonts w:ascii="Georgia" w:eastAsia="Georgia" w:hAnsi="Georgia" w:cs="Georgia"/>
          <w:color w:val="000000" w:themeColor="text1"/>
          <w:lang w:val="en-US"/>
        </w:rPr>
      </w:pPr>
    </w:p>
    <w:p w14:paraId="408EC034" w14:textId="77777777" w:rsidR="00BE2D8D" w:rsidRPr="008222A1" w:rsidRDefault="00BE2D8D" w:rsidP="00BE2D8D">
      <w:pPr>
        <w:pStyle w:val="ListParagraph"/>
        <w:shd w:val="clear" w:color="auto" w:fill="FFFFFF" w:themeFill="background1"/>
        <w:spacing w:after="0" w:line="294" w:lineRule="atLeast"/>
        <w:jc w:val="both"/>
        <w:rPr>
          <w:rFonts w:ascii="Georgia" w:eastAsia="Georgia" w:hAnsi="Georgia" w:cs="Georgia"/>
          <w:color w:val="000000" w:themeColor="text1"/>
          <w:lang w:val="en-US"/>
        </w:rPr>
      </w:pPr>
    </w:p>
    <w:p w14:paraId="6E264610" w14:textId="15DD3E92" w:rsidR="0019433D" w:rsidRPr="008222A1" w:rsidRDefault="6988A1E7" w:rsidP="00BE2D8D">
      <w:pPr>
        <w:pStyle w:val="ListParagraph"/>
        <w:shd w:val="clear" w:color="auto" w:fill="FFFFFF" w:themeFill="background1"/>
        <w:spacing w:after="0" w:line="294" w:lineRule="atLeast"/>
        <w:jc w:val="both"/>
        <w:rPr>
          <w:rFonts w:ascii="Georgia" w:eastAsia="Georgia" w:hAnsi="Georgia" w:cs="Georgia"/>
          <w:color w:val="000000" w:themeColor="text1"/>
          <w:lang w:val="en-US"/>
        </w:rPr>
      </w:pPr>
      <w:r w:rsidRPr="65F13449">
        <w:rPr>
          <w:rFonts w:ascii="Georgia" w:eastAsia="Georgia" w:hAnsi="Georgia" w:cs="Georgia"/>
          <w:color w:val="000000" w:themeColor="text1"/>
        </w:rPr>
        <w:t>Pe de altă parte,</w:t>
      </w:r>
      <w:r w:rsidRPr="65F13449">
        <w:rPr>
          <w:rFonts w:ascii="Georgia" w:eastAsia="Georgia" w:hAnsi="Georgia" w:cs="Georgia"/>
          <w:b/>
          <w:bCs/>
          <w:color w:val="000000" w:themeColor="text1"/>
        </w:rPr>
        <w:t xml:space="preserve"> unitățile sanitare private care au fost supuse unor controale fiscale privind impozitul pe clădiri, finalizate prin emiterea unor acte de impunere pe care le-au contestat</w:t>
      </w:r>
      <w:r w:rsidRPr="65F13449">
        <w:rPr>
          <w:rFonts w:ascii="Georgia" w:eastAsia="Georgia" w:hAnsi="Georgia" w:cs="Georgia"/>
          <w:color w:val="000000" w:themeColor="text1"/>
        </w:rPr>
        <w:t xml:space="preserve"> (aflându-se fie în etapa administrativă a contestației, fie în fața instanțelor de judecată), vor putea invoca Decizia ICCJ nr. 67/2026 în cadrul procedurilor în curs.</w:t>
      </w:r>
    </w:p>
    <w:p w14:paraId="0EE69F74" w14:textId="16DE71B3" w:rsidR="0019433D" w:rsidRPr="008222A1" w:rsidRDefault="0019433D" w:rsidP="00BE2D8D">
      <w:pPr>
        <w:pStyle w:val="ListParagraph"/>
        <w:shd w:val="clear" w:color="auto" w:fill="FFFFFF" w:themeFill="background1"/>
        <w:spacing w:after="0" w:line="294" w:lineRule="atLeast"/>
        <w:jc w:val="both"/>
        <w:rPr>
          <w:rFonts w:ascii="Georgia" w:eastAsia="Georgia" w:hAnsi="Georgia" w:cs="Georgia"/>
          <w:color w:val="000000" w:themeColor="text1"/>
          <w:lang w:val="en-US"/>
        </w:rPr>
      </w:pPr>
    </w:p>
    <w:p w14:paraId="7665E0F1" w14:textId="27E8AAEA" w:rsidR="0019433D" w:rsidRPr="008222A1" w:rsidRDefault="6988A1E7" w:rsidP="00BE2D8D">
      <w:pPr>
        <w:pStyle w:val="ListParagraph"/>
        <w:numPr>
          <w:ilvl w:val="0"/>
          <w:numId w:val="2"/>
        </w:numPr>
        <w:shd w:val="clear" w:color="auto" w:fill="FFFFFF" w:themeFill="background1"/>
        <w:spacing w:after="0" w:line="294" w:lineRule="atLeast"/>
        <w:jc w:val="both"/>
        <w:rPr>
          <w:rFonts w:ascii="Georgia" w:eastAsia="Georgia" w:hAnsi="Georgia" w:cs="Georgia"/>
          <w:color w:val="000000" w:themeColor="text1"/>
          <w:lang w:val="en-US"/>
        </w:rPr>
      </w:pPr>
      <w:r w:rsidRPr="65F13449">
        <w:rPr>
          <w:rFonts w:ascii="Georgia" w:eastAsia="Georgia" w:hAnsi="Georgia" w:cs="Georgia"/>
          <w:b/>
          <w:bCs/>
          <w:color w:val="000000" w:themeColor="text1"/>
        </w:rPr>
        <w:t xml:space="preserve">Referitor la impozitul pe clădiri datorat începând cu 1 ianuarie 2026, </w:t>
      </w:r>
      <w:r w:rsidRPr="65F13449">
        <w:rPr>
          <w:rFonts w:ascii="Georgia" w:eastAsia="Georgia" w:hAnsi="Georgia" w:cs="Georgia"/>
          <w:color w:val="000000" w:themeColor="text1"/>
        </w:rPr>
        <w:t>scutirea unităților sanitare private de la plata impozitului pe clădiri devine facultativă, putând fi acordată prin hotărâri ale Consiliilor locale sau ale Consiliul General al Municipiului București. În consecință, acordarea scutirii pentru anul 2026 trebuie analizată la nivelul fiecărei unități administrativ-teritoriale, prin verificarea hotărârilor de consiliu local adoptate.</w:t>
      </w:r>
    </w:p>
    <w:p w14:paraId="2EDC4FD3" w14:textId="4477ADED" w:rsidR="0019433D" w:rsidRPr="008222A1" w:rsidRDefault="0019433D" w:rsidP="00BE2D8D">
      <w:pPr>
        <w:spacing w:after="0" w:line="294" w:lineRule="atLeast"/>
        <w:jc w:val="both"/>
        <w:rPr>
          <w:rFonts w:ascii="Georgia" w:eastAsia="Georgia" w:hAnsi="Georgia" w:cs="Georgia"/>
          <w:color w:val="000000" w:themeColor="text1"/>
        </w:rPr>
      </w:pPr>
    </w:p>
    <w:p w14:paraId="5E31B80E" w14:textId="7E92029F" w:rsidR="0019433D" w:rsidRPr="008222A1" w:rsidRDefault="0019433D" w:rsidP="00BE2D8D">
      <w:pPr>
        <w:spacing w:after="0" w:line="294" w:lineRule="atLeast"/>
        <w:jc w:val="both"/>
        <w:rPr>
          <w:rFonts w:ascii="Georgia" w:eastAsia="Georgia" w:hAnsi="Georgia" w:cs="Georgia"/>
          <w:kern w:val="0"/>
          <w:lang w:eastAsia="en-GB"/>
          <w14:ligatures w14:val="none"/>
        </w:rPr>
      </w:pPr>
    </w:p>
    <w:sectPr w:rsidR="0019433D" w:rsidRPr="008222A1">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C4B0E" w14:textId="77777777" w:rsidR="00094834" w:rsidRDefault="00094834" w:rsidP="00DD08FD">
      <w:pPr>
        <w:spacing w:after="0" w:line="240" w:lineRule="auto"/>
      </w:pPr>
      <w:r>
        <w:separator/>
      </w:r>
    </w:p>
  </w:endnote>
  <w:endnote w:type="continuationSeparator" w:id="0">
    <w:p w14:paraId="69CDE689" w14:textId="77777777" w:rsidR="00094834" w:rsidRDefault="00094834" w:rsidP="00DD08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76A5F97C" w14:paraId="3D7A2D65" w14:textId="77777777" w:rsidTr="76A5F97C">
      <w:trPr>
        <w:trHeight w:val="300"/>
      </w:trPr>
      <w:tc>
        <w:tcPr>
          <w:tcW w:w="3005" w:type="dxa"/>
        </w:tcPr>
        <w:p w14:paraId="08F2BCD9" w14:textId="2ADC0E88" w:rsidR="76A5F97C" w:rsidRDefault="76A5F97C" w:rsidP="76A5F97C">
          <w:pPr>
            <w:pStyle w:val="Header"/>
            <w:ind w:left="-115"/>
          </w:pPr>
        </w:p>
      </w:tc>
      <w:tc>
        <w:tcPr>
          <w:tcW w:w="3005" w:type="dxa"/>
        </w:tcPr>
        <w:p w14:paraId="2008BA5D" w14:textId="395F44A9" w:rsidR="76A5F97C" w:rsidRDefault="76A5F97C" w:rsidP="76A5F97C">
          <w:pPr>
            <w:pStyle w:val="Header"/>
            <w:jc w:val="center"/>
          </w:pPr>
        </w:p>
      </w:tc>
      <w:tc>
        <w:tcPr>
          <w:tcW w:w="3005" w:type="dxa"/>
        </w:tcPr>
        <w:p w14:paraId="694F7332" w14:textId="416009DE" w:rsidR="76A5F97C" w:rsidRDefault="76A5F97C" w:rsidP="76A5F97C">
          <w:pPr>
            <w:pStyle w:val="Header"/>
            <w:ind w:right="-115"/>
            <w:jc w:val="right"/>
          </w:pPr>
        </w:p>
      </w:tc>
    </w:tr>
  </w:tbl>
  <w:p w14:paraId="10A57797" w14:textId="20432355" w:rsidR="76A5F97C" w:rsidRDefault="76A5F97C" w:rsidP="76A5F9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1D8B3" w14:textId="77777777" w:rsidR="00094834" w:rsidRDefault="00094834" w:rsidP="00DD08FD">
      <w:pPr>
        <w:spacing w:after="0" w:line="240" w:lineRule="auto"/>
      </w:pPr>
      <w:r>
        <w:separator/>
      </w:r>
    </w:p>
  </w:footnote>
  <w:footnote w:type="continuationSeparator" w:id="0">
    <w:p w14:paraId="3EF86451" w14:textId="77777777" w:rsidR="00094834" w:rsidRDefault="00094834" w:rsidP="00DD08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76A5F97C" w14:paraId="3365D788" w14:textId="77777777" w:rsidTr="76A5F97C">
      <w:trPr>
        <w:trHeight w:val="300"/>
      </w:trPr>
      <w:tc>
        <w:tcPr>
          <w:tcW w:w="3005" w:type="dxa"/>
        </w:tcPr>
        <w:p w14:paraId="78EA4F40" w14:textId="0167E76D" w:rsidR="76A5F97C" w:rsidRDefault="76A5F97C" w:rsidP="76A5F97C">
          <w:pPr>
            <w:pStyle w:val="Header"/>
            <w:ind w:left="-115"/>
          </w:pPr>
        </w:p>
      </w:tc>
      <w:tc>
        <w:tcPr>
          <w:tcW w:w="3005" w:type="dxa"/>
        </w:tcPr>
        <w:p w14:paraId="2CEBBBE3" w14:textId="2A3C4762" w:rsidR="76A5F97C" w:rsidRDefault="76A5F97C" w:rsidP="76A5F97C">
          <w:pPr>
            <w:pStyle w:val="Header"/>
            <w:jc w:val="center"/>
          </w:pPr>
        </w:p>
      </w:tc>
      <w:tc>
        <w:tcPr>
          <w:tcW w:w="3005" w:type="dxa"/>
        </w:tcPr>
        <w:p w14:paraId="324CB8D5" w14:textId="229A3BC5" w:rsidR="76A5F97C" w:rsidRDefault="76A5F97C" w:rsidP="76A5F97C">
          <w:pPr>
            <w:pStyle w:val="Header"/>
            <w:ind w:right="-115"/>
            <w:jc w:val="right"/>
          </w:pPr>
        </w:p>
      </w:tc>
    </w:tr>
  </w:tbl>
  <w:p w14:paraId="0A05716C" w14:textId="35CF31DB" w:rsidR="76A5F97C" w:rsidRDefault="76A5F97C" w:rsidP="76A5F97C">
    <w:pPr>
      <w:pStyle w:val="Header"/>
    </w:pPr>
  </w:p>
</w:hdr>
</file>

<file path=word/intelligence2.xml><?xml version="1.0" encoding="utf-8"?>
<int2:intelligence xmlns:int2="http://schemas.microsoft.com/office/intelligence/2020/intelligence" xmlns:oel="http://schemas.microsoft.com/office/2019/extlst">
  <int2:observations>
    <int2:textHash int2:hashCode="8q0EzGJnAJxptA" int2:id="vwSV47HZ">
      <int2:state int2:value="Rejected" int2:type="spell"/>
    </int2:textHash>
    <int2:textHash int2:hashCode="aUSfmU1VgFU1ue" int2:id="UvMNbftz">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17DCA"/>
    <w:multiLevelType w:val="hybridMultilevel"/>
    <w:tmpl w:val="F5F459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D15975"/>
    <w:multiLevelType w:val="hybridMultilevel"/>
    <w:tmpl w:val="61D6C38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D8F4715"/>
    <w:multiLevelType w:val="multilevel"/>
    <w:tmpl w:val="5C26B74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687CDF"/>
    <w:multiLevelType w:val="multilevel"/>
    <w:tmpl w:val="756E8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C14CEB"/>
    <w:multiLevelType w:val="multilevel"/>
    <w:tmpl w:val="5232AD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CB135E"/>
    <w:multiLevelType w:val="multilevel"/>
    <w:tmpl w:val="49FA4A4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9D6F42"/>
    <w:multiLevelType w:val="multilevel"/>
    <w:tmpl w:val="25C0A01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5DF248D"/>
    <w:multiLevelType w:val="multilevel"/>
    <w:tmpl w:val="BE6CAC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AF455F7"/>
    <w:multiLevelType w:val="multilevel"/>
    <w:tmpl w:val="4162A31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3EC542DA"/>
    <w:multiLevelType w:val="multilevel"/>
    <w:tmpl w:val="CA4EB8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24E7A79"/>
    <w:multiLevelType w:val="multilevel"/>
    <w:tmpl w:val="6914B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787271"/>
    <w:multiLevelType w:val="hybridMultilevel"/>
    <w:tmpl w:val="374226DC"/>
    <w:lvl w:ilvl="0" w:tplc="1EBECC16">
      <w:start w:val="1"/>
      <w:numFmt w:val="lowerRoman"/>
      <w:lvlText w:val="(%1)"/>
      <w:lvlJc w:val="left"/>
      <w:pPr>
        <w:ind w:left="720" w:hanging="360"/>
      </w:pPr>
      <w:rPr>
        <w:rFonts w:ascii="Georgia" w:hAnsi="Georgia" w:hint="default"/>
      </w:rPr>
    </w:lvl>
    <w:lvl w:ilvl="1" w:tplc="E54C4810">
      <w:start w:val="1"/>
      <w:numFmt w:val="lowerLetter"/>
      <w:lvlText w:val="%2."/>
      <w:lvlJc w:val="left"/>
      <w:pPr>
        <w:ind w:left="1440" w:hanging="360"/>
      </w:pPr>
    </w:lvl>
    <w:lvl w:ilvl="2" w:tplc="F95A9FF0">
      <w:start w:val="1"/>
      <w:numFmt w:val="lowerRoman"/>
      <w:lvlText w:val="%3."/>
      <w:lvlJc w:val="right"/>
      <w:pPr>
        <w:ind w:left="2160" w:hanging="180"/>
      </w:pPr>
    </w:lvl>
    <w:lvl w:ilvl="3" w:tplc="58065186">
      <w:start w:val="1"/>
      <w:numFmt w:val="decimal"/>
      <w:lvlText w:val="%4."/>
      <w:lvlJc w:val="left"/>
      <w:pPr>
        <w:ind w:left="2880" w:hanging="360"/>
      </w:pPr>
    </w:lvl>
    <w:lvl w:ilvl="4" w:tplc="DBC82560">
      <w:start w:val="1"/>
      <w:numFmt w:val="lowerLetter"/>
      <w:lvlText w:val="%5."/>
      <w:lvlJc w:val="left"/>
      <w:pPr>
        <w:ind w:left="3600" w:hanging="360"/>
      </w:pPr>
    </w:lvl>
    <w:lvl w:ilvl="5" w:tplc="3B7ED370">
      <w:start w:val="1"/>
      <w:numFmt w:val="lowerRoman"/>
      <w:lvlText w:val="%6."/>
      <w:lvlJc w:val="right"/>
      <w:pPr>
        <w:ind w:left="4320" w:hanging="180"/>
      </w:pPr>
    </w:lvl>
    <w:lvl w:ilvl="6" w:tplc="F4F86072">
      <w:start w:val="1"/>
      <w:numFmt w:val="decimal"/>
      <w:lvlText w:val="%7."/>
      <w:lvlJc w:val="left"/>
      <w:pPr>
        <w:ind w:left="5040" w:hanging="360"/>
      </w:pPr>
    </w:lvl>
    <w:lvl w:ilvl="7" w:tplc="6AD00AE2">
      <w:start w:val="1"/>
      <w:numFmt w:val="lowerLetter"/>
      <w:lvlText w:val="%8."/>
      <w:lvlJc w:val="left"/>
      <w:pPr>
        <w:ind w:left="5760" w:hanging="360"/>
      </w:pPr>
    </w:lvl>
    <w:lvl w:ilvl="8" w:tplc="ED2A0DD0">
      <w:start w:val="1"/>
      <w:numFmt w:val="lowerRoman"/>
      <w:lvlText w:val="%9."/>
      <w:lvlJc w:val="right"/>
      <w:pPr>
        <w:ind w:left="6480" w:hanging="180"/>
      </w:pPr>
    </w:lvl>
  </w:abstractNum>
  <w:abstractNum w:abstractNumId="12" w15:restartNumberingAfterBreak="0">
    <w:nsid w:val="48AB7AB7"/>
    <w:multiLevelType w:val="hybridMultilevel"/>
    <w:tmpl w:val="17E0540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4A2A704E"/>
    <w:multiLevelType w:val="multilevel"/>
    <w:tmpl w:val="7A50CD1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A4A4DEF"/>
    <w:multiLevelType w:val="multilevel"/>
    <w:tmpl w:val="43D0F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9B3E32"/>
    <w:multiLevelType w:val="hybridMultilevel"/>
    <w:tmpl w:val="3522C6F8"/>
    <w:lvl w:ilvl="0" w:tplc="8C74B0D0">
      <w:start w:val="1"/>
      <w:numFmt w:val="bullet"/>
      <w:lvlText w:val="-"/>
      <w:lvlJc w:val="left"/>
      <w:pPr>
        <w:ind w:left="720" w:hanging="360"/>
      </w:pPr>
      <w:rPr>
        <w:rFonts w:ascii="Aptos" w:hAnsi="Aptos" w:hint="default"/>
      </w:rPr>
    </w:lvl>
    <w:lvl w:ilvl="1" w:tplc="9822B73C">
      <w:start w:val="1"/>
      <w:numFmt w:val="bullet"/>
      <w:lvlText w:val="o"/>
      <w:lvlJc w:val="left"/>
      <w:pPr>
        <w:ind w:left="1440" w:hanging="360"/>
      </w:pPr>
      <w:rPr>
        <w:rFonts w:ascii="Courier New" w:hAnsi="Courier New" w:hint="default"/>
      </w:rPr>
    </w:lvl>
    <w:lvl w:ilvl="2" w:tplc="F4E831EC">
      <w:start w:val="1"/>
      <w:numFmt w:val="bullet"/>
      <w:lvlText w:val=""/>
      <w:lvlJc w:val="left"/>
      <w:pPr>
        <w:ind w:left="2160" w:hanging="360"/>
      </w:pPr>
      <w:rPr>
        <w:rFonts w:ascii="Wingdings" w:hAnsi="Wingdings" w:hint="default"/>
      </w:rPr>
    </w:lvl>
    <w:lvl w:ilvl="3" w:tplc="75EC38AE">
      <w:start w:val="1"/>
      <w:numFmt w:val="bullet"/>
      <w:lvlText w:val=""/>
      <w:lvlJc w:val="left"/>
      <w:pPr>
        <w:ind w:left="2880" w:hanging="360"/>
      </w:pPr>
      <w:rPr>
        <w:rFonts w:ascii="Symbol" w:hAnsi="Symbol" w:hint="default"/>
      </w:rPr>
    </w:lvl>
    <w:lvl w:ilvl="4" w:tplc="CEF663C8">
      <w:start w:val="1"/>
      <w:numFmt w:val="bullet"/>
      <w:lvlText w:val="o"/>
      <w:lvlJc w:val="left"/>
      <w:pPr>
        <w:ind w:left="3600" w:hanging="360"/>
      </w:pPr>
      <w:rPr>
        <w:rFonts w:ascii="Courier New" w:hAnsi="Courier New" w:hint="default"/>
      </w:rPr>
    </w:lvl>
    <w:lvl w:ilvl="5" w:tplc="688E7012">
      <w:start w:val="1"/>
      <w:numFmt w:val="bullet"/>
      <w:lvlText w:val=""/>
      <w:lvlJc w:val="left"/>
      <w:pPr>
        <w:ind w:left="4320" w:hanging="360"/>
      </w:pPr>
      <w:rPr>
        <w:rFonts w:ascii="Wingdings" w:hAnsi="Wingdings" w:hint="default"/>
      </w:rPr>
    </w:lvl>
    <w:lvl w:ilvl="6" w:tplc="F0D0032E">
      <w:start w:val="1"/>
      <w:numFmt w:val="bullet"/>
      <w:lvlText w:val=""/>
      <w:lvlJc w:val="left"/>
      <w:pPr>
        <w:ind w:left="5040" w:hanging="360"/>
      </w:pPr>
      <w:rPr>
        <w:rFonts w:ascii="Symbol" w:hAnsi="Symbol" w:hint="default"/>
      </w:rPr>
    </w:lvl>
    <w:lvl w:ilvl="7" w:tplc="7CB00900">
      <w:start w:val="1"/>
      <w:numFmt w:val="bullet"/>
      <w:lvlText w:val="o"/>
      <w:lvlJc w:val="left"/>
      <w:pPr>
        <w:ind w:left="5760" w:hanging="360"/>
      </w:pPr>
      <w:rPr>
        <w:rFonts w:ascii="Courier New" w:hAnsi="Courier New" w:hint="default"/>
      </w:rPr>
    </w:lvl>
    <w:lvl w:ilvl="8" w:tplc="968850D4">
      <w:start w:val="1"/>
      <w:numFmt w:val="bullet"/>
      <w:lvlText w:val=""/>
      <w:lvlJc w:val="left"/>
      <w:pPr>
        <w:ind w:left="6480" w:hanging="360"/>
      </w:pPr>
      <w:rPr>
        <w:rFonts w:ascii="Wingdings" w:hAnsi="Wingdings" w:hint="default"/>
      </w:rPr>
    </w:lvl>
  </w:abstractNum>
  <w:abstractNum w:abstractNumId="16" w15:restartNumberingAfterBreak="0">
    <w:nsid w:val="582E29C4"/>
    <w:multiLevelType w:val="multilevel"/>
    <w:tmpl w:val="2114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EA36049"/>
    <w:multiLevelType w:val="multilevel"/>
    <w:tmpl w:val="2CA2B7D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6674631"/>
    <w:multiLevelType w:val="hybridMultilevel"/>
    <w:tmpl w:val="0A90986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68D63A21"/>
    <w:multiLevelType w:val="multilevel"/>
    <w:tmpl w:val="A2D8D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FFC5F8F"/>
    <w:multiLevelType w:val="multilevel"/>
    <w:tmpl w:val="61F8C49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1F18437"/>
    <w:multiLevelType w:val="hybridMultilevel"/>
    <w:tmpl w:val="B0B210DC"/>
    <w:lvl w:ilvl="0" w:tplc="113EF1DC">
      <w:start w:val="1"/>
      <w:numFmt w:val="bullet"/>
      <w:lvlText w:val="-"/>
      <w:lvlJc w:val="left"/>
      <w:pPr>
        <w:ind w:left="720" w:hanging="360"/>
      </w:pPr>
      <w:rPr>
        <w:rFonts w:ascii="Aptos" w:hAnsi="Aptos" w:hint="default"/>
      </w:rPr>
    </w:lvl>
    <w:lvl w:ilvl="1" w:tplc="08142028">
      <w:start w:val="1"/>
      <w:numFmt w:val="bullet"/>
      <w:lvlText w:val="o"/>
      <w:lvlJc w:val="left"/>
      <w:pPr>
        <w:ind w:left="1440" w:hanging="360"/>
      </w:pPr>
      <w:rPr>
        <w:rFonts w:ascii="Courier New" w:hAnsi="Courier New" w:hint="default"/>
      </w:rPr>
    </w:lvl>
    <w:lvl w:ilvl="2" w:tplc="09184D8A">
      <w:start w:val="1"/>
      <w:numFmt w:val="bullet"/>
      <w:lvlText w:val=""/>
      <w:lvlJc w:val="left"/>
      <w:pPr>
        <w:ind w:left="2160" w:hanging="360"/>
      </w:pPr>
      <w:rPr>
        <w:rFonts w:ascii="Wingdings" w:hAnsi="Wingdings" w:hint="default"/>
      </w:rPr>
    </w:lvl>
    <w:lvl w:ilvl="3" w:tplc="FA729498">
      <w:start w:val="1"/>
      <w:numFmt w:val="bullet"/>
      <w:lvlText w:val=""/>
      <w:lvlJc w:val="left"/>
      <w:pPr>
        <w:ind w:left="2880" w:hanging="360"/>
      </w:pPr>
      <w:rPr>
        <w:rFonts w:ascii="Symbol" w:hAnsi="Symbol" w:hint="default"/>
      </w:rPr>
    </w:lvl>
    <w:lvl w:ilvl="4" w:tplc="2604D558">
      <w:start w:val="1"/>
      <w:numFmt w:val="bullet"/>
      <w:lvlText w:val="o"/>
      <w:lvlJc w:val="left"/>
      <w:pPr>
        <w:ind w:left="3600" w:hanging="360"/>
      </w:pPr>
      <w:rPr>
        <w:rFonts w:ascii="Courier New" w:hAnsi="Courier New" w:hint="default"/>
      </w:rPr>
    </w:lvl>
    <w:lvl w:ilvl="5" w:tplc="3A763512">
      <w:start w:val="1"/>
      <w:numFmt w:val="bullet"/>
      <w:lvlText w:val=""/>
      <w:lvlJc w:val="left"/>
      <w:pPr>
        <w:ind w:left="4320" w:hanging="360"/>
      </w:pPr>
      <w:rPr>
        <w:rFonts w:ascii="Wingdings" w:hAnsi="Wingdings" w:hint="default"/>
      </w:rPr>
    </w:lvl>
    <w:lvl w:ilvl="6" w:tplc="512687B6">
      <w:start w:val="1"/>
      <w:numFmt w:val="bullet"/>
      <w:lvlText w:val=""/>
      <w:lvlJc w:val="left"/>
      <w:pPr>
        <w:ind w:left="5040" w:hanging="360"/>
      </w:pPr>
      <w:rPr>
        <w:rFonts w:ascii="Symbol" w:hAnsi="Symbol" w:hint="default"/>
      </w:rPr>
    </w:lvl>
    <w:lvl w:ilvl="7" w:tplc="DC7E5DC8">
      <w:start w:val="1"/>
      <w:numFmt w:val="bullet"/>
      <w:lvlText w:val="o"/>
      <w:lvlJc w:val="left"/>
      <w:pPr>
        <w:ind w:left="5760" w:hanging="360"/>
      </w:pPr>
      <w:rPr>
        <w:rFonts w:ascii="Courier New" w:hAnsi="Courier New" w:hint="default"/>
      </w:rPr>
    </w:lvl>
    <w:lvl w:ilvl="8" w:tplc="4C42CF9C">
      <w:start w:val="1"/>
      <w:numFmt w:val="bullet"/>
      <w:lvlText w:val=""/>
      <w:lvlJc w:val="left"/>
      <w:pPr>
        <w:ind w:left="6480" w:hanging="360"/>
      </w:pPr>
      <w:rPr>
        <w:rFonts w:ascii="Wingdings" w:hAnsi="Wingdings" w:hint="default"/>
      </w:rPr>
    </w:lvl>
  </w:abstractNum>
  <w:abstractNum w:abstractNumId="22" w15:restartNumberingAfterBreak="0">
    <w:nsid w:val="73C22986"/>
    <w:multiLevelType w:val="multilevel"/>
    <w:tmpl w:val="6D0CC2E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41608231">
    <w:abstractNumId w:val="15"/>
  </w:num>
  <w:num w:numId="2" w16cid:durableId="1264221218">
    <w:abstractNumId w:val="11"/>
  </w:num>
  <w:num w:numId="3" w16cid:durableId="1779060748">
    <w:abstractNumId w:val="21"/>
  </w:num>
  <w:num w:numId="4" w16cid:durableId="1333753066">
    <w:abstractNumId w:val="4"/>
  </w:num>
  <w:num w:numId="5" w16cid:durableId="1356077638">
    <w:abstractNumId w:val="7"/>
    <w:lvlOverride w:ilvl="0">
      <w:lvl w:ilvl="0">
        <w:numFmt w:val="decimal"/>
        <w:lvlText w:val="%1."/>
        <w:lvlJc w:val="left"/>
      </w:lvl>
    </w:lvlOverride>
  </w:num>
  <w:num w:numId="6" w16cid:durableId="1283540565">
    <w:abstractNumId w:val="3"/>
  </w:num>
  <w:num w:numId="7" w16cid:durableId="1930574016">
    <w:abstractNumId w:val="9"/>
    <w:lvlOverride w:ilvl="0">
      <w:lvl w:ilvl="0">
        <w:numFmt w:val="decimal"/>
        <w:lvlText w:val="%1."/>
        <w:lvlJc w:val="left"/>
      </w:lvl>
    </w:lvlOverride>
  </w:num>
  <w:num w:numId="8" w16cid:durableId="796800915">
    <w:abstractNumId w:val="6"/>
    <w:lvlOverride w:ilvl="0">
      <w:lvl w:ilvl="0">
        <w:numFmt w:val="decimal"/>
        <w:lvlText w:val="%1."/>
        <w:lvlJc w:val="left"/>
      </w:lvl>
    </w:lvlOverride>
  </w:num>
  <w:num w:numId="9" w16cid:durableId="791904171">
    <w:abstractNumId w:val="5"/>
    <w:lvlOverride w:ilvl="0">
      <w:lvl w:ilvl="0">
        <w:numFmt w:val="decimal"/>
        <w:lvlText w:val="%1."/>
        <w:lvlJc w:val="left"/>
      </w:lvl>
    </w:lvlOverride>
  </w:num>
  <w:num w:numId="10" w16cid:durableId="1754206906">
    <w:abstractNumId w:val="19"/>
  </w:num>
  <w:num w:numId="11" w16cid:durableId="382558898">
    <w:abstractNumId w:val="14"/>
  </w:num>
  <w:num w:numId="12" w16cid:durableId="1911454893">
    <w:abstractNumId w:val="2"/>
    <w:lvlOverride w:ilvl="0">
      <w:lvl w:ilvl="0">
        <w:numFmt w:val="decimal"/>
        <w:lvlText w:val="%1."/>
        <w:lvlJc w:val="left"/>
      </w:lvl>
    </w:lvlOverride>
  </w:num>
  <w:num w:numId="13" w16cid:durableId="1752123922">
    <w:abstractNumId w:val="13"/>
    <w:lvlOverride w:ilvl="0">
      <w:lvl w:ilvl="0">
        <w:numFmt w:val="decimal"/>
        <w:lvlText w:val="%1."/>
        <w:lvlJc w:val="left"/>
      </w:lvl>
    </w:lvlOverride>
  </w:num>
  <w:num w:numId="14" w16cid:durableId="1477793106">
    <w:abstractNumId w:val="17"/>
    <w:lvlOverride w:ilvl="0">
      <w:lvl w:ilvl="0">
        <w:numFmt w:val="decimal"/>
        <w:lvlText w:val="%1."/>
        <w:lvlJc w:val="left"/>
      </w:lvl>
    </w:lvlOverride>
  </w:num>
  <w:num w:numId="15" w16cid:durableId="737361470">
    <w:abstractNumId w:val="20"/>
    <w:lvlOverride w:ilvl="0">
      <w:lvl w:ilvl="0">
        <w:numFmt w:val="decimal"/>
        <w:lvlText w:val="%1."/>
        <w:lvlJc w:val="left"/>
      </w:lvl>
    </w:lvlOverride>
  </w:num>
  <w:num w:numId="16" w16cid:durableId="2031639766">
    <w:abstractNumId w:val="22"/>
    <w:lvlOverride w:ilvl="0">
      <w:lvl w:ilvl="0">
        <w:numFmt w:val="decimal"/>
        <w:lvlText w:val="%1."/>
        <w:lvlJc w:val="left"/>
      </w:lvl>
    </w:lvlOverride>
  </w:num>
  <w:num w:numId="17" w16cid:durableId="748162722">
    <w:abstractNumId w:val="10"/>
  </w:num>
  <w:num w:numId="18" w16cid:durableId="365253525">
    <w:abstractNumId w:val="12"/>
  </w:num>
  <w:num w:numId="19" w16cid:durableId="1866214018">
    <w:abstractNumId w:val="16"/>
  </w:num>
  <w:num w:numId="20" w16cid:durableId="1910537457">
    <w:abstractNumId w:val="0"/>
  </w:num>
  <w:num w:numId="21" w16cid:durableId="771901159">
    <w:abstractNumId w:val="8"/>
  </w:num>
  <w:num w:numId="22" w16cid:durableId="1127629835">
    <w:abstractNumId w:val="1"/>
  </w:num>
  <w:num w:numId="23" w16cid:durableId="93409589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9BA"/>
    <w:rsid w:val="00094834"/>
    <w:rsid w:val="000C6E6A"/>
    <w:rsid w:val="001734E3"/>
    <w:rsid w:val="0019433D"/>
    <w:rsid w:val="002D4471"/>
    <w:rsid w:val="002D758D"/>
    <w:rsid w:val="003E6E10"/>
    <w:rsid w:val="00490C56"/>
    <w:rsid w:val="005864DF"/>
    <w:rsid w:val="006732BD"/>
    <w:rsid w:val="00682057"/>
    <w:rsid w:val="00692C79"/>
    <w:rsid w:val="006AE123"/>
    <w:rsid w:val="00717D66"/>
    <w:rsid w:val="007356A0"/>
    <w:rsid w:val="00820EB8"/>
    <w:rsid w:val="008222A1"/>
    <w:rsid w:val="008621F6"/>
    <w:rsid w:val="0086290E"/>
    <w:rsid w:val="00885B0D"/>
    <w:rsid w:val="008B3210"/>
    <w:rsid w:val="009369BA"/>
    <w:rsid w:val="009715A3"/>
    <w:rsid w:val="00980FB1"/>
    <w:rsid w:val="009D3378"/>
    <w:rsid w:val="00A233D8"/>
    <w:rsid w:val="00A51E30"/>
    <w:rsid w:val="00A62B70"/>
    <w:rsid w:val="00AB0F7B"/>
    <w:rsid w:val="00AB1E4F"/>
    <w:rsid w:val="00AF2331"/>
    <w:rsid w:val="00AF5D1D"/>
    <w:rsid w:val="00B91E2C"/>
    <w:rsid w:val="00BE2D8D"/>
    <w:rsid w:val="00C470F2"/>
    <w:rsid w:val="00C927A5"/>
    <w:rsid w:val="00CA15ED"/>
    <w:rsid w:val="00DD08FD"/>
    <w:rsid w:val="00E0200A"/>
    <w:rsid w:val="00F82D3E"/>
    <w:rsid w:val="00FA429C"/>
    <w:rsid w:val="00FD1878"/>
    <w:rsid w:val="011B6FE1"/>
    <w:rsid w:val="019F8DC5"/>
    <w:rsid w:val="02022E78"/>
    <w:rsid w:val="02AA16C1"/>
    <w:rsid w:val="02F5F2A4"/>
    <w:rsid w:val="03119D2E"/>
    <w:rsid w:val="031A40B2"/>
    <w:rsid w:val="04ED3482"/>
    <w:rsid w:val="05ABAEB4"/>
    <w:rsid w:val="060945B2"/>
    <w:rsid w:val="063361D2"/>
    <w:rsid w:val="06581D93"/>
    <w:rsid w:val="0712A34D"/>
    <w:rsid w:val="07614B8C"/>
    <w:rsid w:val="0779C0B0"/>
    <w:rsid w:val="078D6A1B"/>
    <w:rsid w:val="07EE0877"/>
    <w:rsid w:val="085C112E"/>
    <w:rsid w:val="08EB770D"/>
    <w:rsid w:val="0CD2F142"/>
    <w:rsid w:val="0D0B6461"/>
    <w:rsid w:val="0DD137D6"/>
    <w:rsid w:val="0E1B0D6F"/>
    <w:rsid w:val="0EAE9240"/>
    <w:rsid w:val="0F2A5281"/>
    <w:rsid w:val="0F6E2C72"/>
    <w:rsid w:val="0FC24DAB"/>
    <w:rsid w:val="0FE6452C"/>
    <w:rsid w:val="1018FC3D"/>
    <w:rsid w:val="104A8903"/>
    <w:rsid w:val="104EEE12"/>
    <w:rsid w:val="10502A36"/>
    <w:rsid w:val="1083F852"/>
    <w:rsid w:val="10DEDA2A"/>
    <w:rsid w:val="11056B78"/>
    <w:rsid w:val="1166500E"/>
    <w:rsid w:val="11A3F43D"/>
    <w:rsid w:val="11C914F3"/>
    <w:rsid w:val="1214632D"/>
    <w:rsid w:val="12581A3D"/>
    <w:rsid w:val="1259D1F6"/>
    <w:rsid w:val="12D0D3E5"/>
    <w:rsid w:val="12F8E364"/>
    <w:rsid w:val="13DA16D0"/>
    <w:rsid w:val="13F9D7A9"/>
    <w:rsid w:val="143E8AF0"/>
    <w:rsid w:val="14CD81CC"/>
    <w:rsid w:val="14DBAC94"/>
    <w:rsid w:val="153E6E74"/>
    <w:rsid w:val="15DA5DCC"/>
    <w:rsid w:val="1695B0F8"/>
    <w:rsid w:val="1859DFA9"/>
    <w:rsid w:val="19204F19"/>
    <w:rsid w:val="1A9E3156"/>
    <w:rsid w:val="1ABC4F76"/>
    <w:rsid w:val="1B461374"/>
    <w:rsid w:val="1CC1EA7F"/>
    <w:rsid w:val="1D387489"/>
    <w:rsid w:val="1DD8EEE4"/>
    <w:rsid w:val="1EA5A3C0"/>
    <w:rsid w:val="1F2683F7"/>
    <w:rsid w:val="1F8B4D4E"/>
    <w:rsid w:val="2154B7EA"/>
    <w:rsid w:val="21AC2A1F"/>
    <w:rsid w:val="227E4CF3"/>
    <w:rsid w:val="22B8B1B1"/>
    <w:rsid w:val="22B9B604"/>
    <w:rsid w:val="2434A277"/>
    <w:rsid w:val="2479927C"/>
    <w:rsid w:val="2523F021"/>
    <w:rsid w:val="25C11A59"/>
    <w:rsid w:val="26EF4A06"/>
    <w:rsid w:val="27A8FC0D"/>
    <w:rsid w:val="28A2BA09"/>
    <w:rsid w:val="29357EA0"/>
    <w:rsid w:val="29AD44F0"/>
    <w:rsid w:val="29D2C041"/>
    <w:rsid w:val="2AB02348"/>
    <w:rsid w:val="2ADBDE82"/>
    <w:rsid w:val="2D37D33A"/>
    <w:rsid w:val="2D7499ED"/>
    <w:rsid w:val="2EF29552"/>
    <w:rsid w:val="2F3D6AFA"/>
    <w:rsid w:val="2F3E54A3"/>
    <w:rsid w:val="2FA1C576"/>
    <w:rsid w:val="30402EFF"/>
    <w:rsid w:val="308E34E3"/>
    <w:rsid w:val="311CBC1F"/>
    <w:rsid w:val="31A19492"/>
    <w:rsid w:val="31B83DAE"/>
    <w:rsid w:val="32CA8F5F"/>
    <w:rsid w:val="33A44B9B"/>
    <w:rsid w:val="34F79407"/>
    <w:rsid w:val="34FC2807"/>
    <w:rsid w:val="356CE60A"/>
    <w:rsid w:val="35C3FBA2"/>
    <w:rsid w:val="35D7447C"/>
    <w:rsid w:val="372C2BD1"/>
    <w:rsid w:val="377F4252"/>
    <w:rsid w:val="384D0376"/>
    <w:rsid w:val="3928C230"/>
    <w:rsid w:val="3A04A210"/>
    <w:rsid w:val="3D11DC4B"/>
    <w:rsid w:val="3D1D3449"/>
    <w:rsid w:val="3E294E98"/>
    <w:rsid w:val="3F7CF58A"/>
    <w:rsid w:val="3FED7EDC"/>
    <w:rsid w:val="403C7DCE"/>
    <w:rsid w:val="406724FA"/>
    <w:rsid w:val="4119BA7D"/>
    <w:rsid w:val="41759F6C"/>
    <w:rsid w:val="41A91437"/>
    <w:rsid w:val="423E9400"/>
    <w:rsid w:val="427A34EF"/>
    <w:rsid w:val="42938F32"/>
    <w:rsid w:val="4345E6D5"/>
    <w:rsid w:val="4421BDD8"/>
    <w:rsid w:val="4590B8EB"/>
    <w:rsid w:val="46E5C366"/>
    <w:rsid w:val="48E89EDC"/>
    <w:rsid w:val="49012923"/>
    <w:rsid w:val="4933C9DF"/>
    <w:rsid w:val="493F6440"/>
    <w:rsid w:val="4A2F4824"/>
    <w:rsid w:val="4B989138"/>
    <w:rsid w:val="4CF91FF9"/>
    <w:rsid w:val="4D1FF6EB"/>
    <w:rsid w:val="4DAAF18C"/>
    <w:rsid w:val="4E889583"/>
    <w:rsid w:val="4EFF8C8E"/>
    <w:rsid w:val="4F04904B"/>
    <w:rsid w:val="4F689DB2"/>
    <w:rsid w:val="509D734C"/>
    <w:rsid w:val="50DAD202"/>
    <w:rsid w:val="510EDF82"/>
    <w:rsid w:val="519E00A7"/>
    <w:rsid w:val="51CE11BD"/>
    <w:rsid w:val="52AA0A43"/>
    <w:rsid w:val="52ACB160"/>
    <w:rsid w:val="5363CA15"/>
    <w:rsid w:val="539BDB62"/>
    <w:rsid w:val="53A388D4"/>
    <w:rsid w:val="5500F9D3"/>
    <w:rsid w:val="551069BB"/>
    <w:rsid w:val="55BD5EE6"/>
    <w:rsid w:val="55C5142B"/>
    <w:rsid w:val="56A67016"/>
    <w:rsid w:val="57AEF32F"/>
    <w:rsid w:val="59E2FB29"/>
    <w:rsid w:val="5A33F540"/>
    <w:rsid w:val="5B54FB90"/>
    <w:rsid w:val="5B9CB2BB"/>
    <w:rsid w:val="5C7ACF15"/>
    <w:rsid w:val="5C9B3F7F"/>
    <w:rsid w:val="5CA01DDC"/>
    <w:rsid w:val="5CF786A2"/>
    <w:rsid w:val="5DA4C018"/>
    <w:rsid w:val="5E10D099"/>
    <w:rsid w:val="5E1ECD70"/>
    <w:rsid w:val="5E92E5CF"/>
    <w:rsid w:val="5ED318BF"/>
    <w:rsid w:val="5F7905E3"/>
    <w:rsid w:val="5F79E5B7"/>
    <w:rsid w:val="5FC0EF01"/>
    <w:rsid w:val="601C6DAD"/>
    <w:rsid w:val="60308A1E"/>
    <w:rsid w:val="608EA504"/>
    <w:rsid w:val="60A5A59F"/>
    <w:rsid w:val="60B38963"/>
    <w:rsid w:val="611E45D1"/>
    <w:rsid w:val="619767CD"/>
    <w:rsid w:val="62F387C3"/>
    <w:rsid w:val="6332EDF0"/>
    <w:rsid w:val="65426E53"/>
    <w:rsid w:val="65F13449"/>
    <w:rsid w:val="65FCAD37"/>
    <w:rsid w:val="66A016FB"/>
    <w:rsid w:val="66DFDB6A"/>
    <w:rsid w:val="6718A884"/>
    <w:rsid w:val="675B0C6A"/>
    <w:rsid w:val="675F933F"/>
    <w:rsid w:val="67C373EE"/>
    <w:rsid w:val="6825675F"/>
    <w:rsid w:val="6988A1E7"/>
    <w:rsid w:val="6A179C08"/>
    <w:rsid w:val="6A61AC67"/>
    <w:rsid w:val="6A8B0728"/>
    <w:rsid w:val="6AAB5AE3"/>
    <w:rsid w:val="6C0ADD02"/>
    <w:rsid w:val="6C30015F"/>
    <w:rsid w:val="6C3C2425"/>
    <w:rsid w:val="6CCB2104"/>
    <w:rsid w:val="6CD5D6B3"/>
    <w:rsid w:val="6E148ABD"/>
    <w:rsid w:val="6E2962B2"/>
    <w:rsid w:val="6E85775E"/>
    <w:rsid w:val="6EBE270C"/>
    <w:rsid w:val="6F3555BB"/>
    <w:rsid w:val="6F42D03A"/>
    <w:rsid w:val="6F7AD395"/>
    <w:rsid w:val="6FE8D308"/>
    <w:rsid w:val="70E716D4"/>
    <w:rsid w:val="71483978"/>
    <w:rsid w:val="725350CC"/>
    <w:rsid w:val="72ADF5A9"/>
    <w:rsid w:val="7361DDA4"/>
    <w:rsid w:val="7383B796"/>
    <w:rsid w:val="741616B5"/>
    <w:rsid w:val="7456B8B5"/>
    <w:rsid w:val="75200A52"/>
    <w:rsid w:val="75876A47"/>
    <w:rsid w:val="75C8FB2D"/>
    <w:rsid w:val="75DE9993"/>
    <w:rsid w:val="763D545D"/>
    <w:rsid w:val="763F5A55"/>
    <w:rsid w:val="76A5F97C"/>
    <w:rsid w:val="76E845E5"/>
    <w:rsid w:val="7767CCD2"/>
    <w:rsid w:val="778E2F01"/>
    <w:rsid w:val="7816FBC7"/>
    <w:rsid w:val="79C11E09"/>
    <w:rsid w:val="7BBCD6F3"/>
    <w:rsid w:val="7BE24954"/>
    <w:rsid w:val="7C2287F4"/>
    <w:rsid w:val="7C79D414"/>
    <w:rsid w:val="7C995226"/>
    <w:rsid w:val="7D2FE74E"/>
    <w:rsid w:val="7D4D91C1"/>
    <w:rsid w:val="7D67C583"/>
    <w:rsid w:val="7E51A365"/>
    <w:rsid w:val="7E814934"/>
    <w:rsid w:val="7FBAC4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EBAB6"/>
  <w15:chartTrackingRefBased/>
  <w15:docId w15:val="{7976B04C-D872-4BA2-A8FC-2DE429870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9433D"/>
    <w:pPr>
      <w:spacing w:before="100" w:beforeAutospacing="1" w:after="100" w:afterAutospacing="1" w:line="240" w:lineRule="auto"/>
    </w:pPr>
    <w:rPr>
      <w:rFonts w:ascii="Times New Roman" w:eastAsia="Times New Roman" w:hAnsi="Times New Roman" w:cs="Times New Roman"/>
      <w:kern w:val="0"/>
      <w:sz w:val="24"/>
      <w:szCs w:val="24"/>
      <w:lang w:val="en-GB" w:eastAsia="en-GB"/>
      <w14:ligatures w14:val="none"/>
    </w:rPr>
  </w:style>
  <w:style w:type="character" w:customStyle="1" w:styleId="apple-tab-span">
    <w:name w:val="apple-tab-span"/>
    <w:basedOn w:val="DefaultParagraphFont"/>
    <w:rsid w:val="0019433D"/>
  </w:style>
  <w:style w:type="paragraph" w:styleId="ListParagraph">
    <w:name w:val="List Paragraph"/>
    <w:basedOn w:val="Normal"/>
    <w:uiPriority w:val="34"/>
    <w:qFormat/>
    <w:rsid w:val="001734E3"/>
    <w:pPr>
      <w:ind w:left="720"/>
      <w:contextualSpacing/>
    </w:pPr>
  </w:style>
  <w:style w:type="paragraph" w:styleId="Header">
    <w:name w:val="header"/>
    <w:basedOn w:val="Normal"/>
    <w:link w:val="HeaderChar"/>
    <w:uiPriority w:val="99"/>
    <w:unhideWhenUsed/>
    <w:rsid w:val="00DD08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08FD"/>
    <w:rPr>
      <w:lang w:val="ro-RO"/>
    </w:rPr>
  </w:style>
  <w:style w:type="paragraph" w:styleId="Footer">
    <w:name w:val="footer"/>
    <w:basedOn w:val="Normal"/>
    <w:link w:val="FooterChar"/>
    <w:uiPriority w:val="99"/>
    <w:unhideWhenUsed/>
    <w:rsid w:val="00DD08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08FD"/>
    <w:rPr>
      <w:lang w:val="ro-RO"/>
    </w:rPr>
  </w:style>
  <w:style w:type="character" w:styleId="Hyperlink">
    <w:name w:val="Hyperlink"/>
    <w:basedOn w:val="DefaultParagraphFont"/>
    <w:uiPriority w:val="99"/>
    <w:unhideWhenUsed/>
    <w:rsid w:val="00F82D3E"/>
    <w:rPr>
      <w:color w:val="0563C1" w:themeColor="hyperlink"/>
      <w:u w:val="single"/>
    </w:rPr>
  </w:style>
  <w:style w:type="character" w:styleId="UnresolvedMention">
    <w:name w:val="Unresolved Mention"/>
    <w:basedOn w:val="DefaultParagraphFont"/>
    <w:uiPriority w:val="99"/>
    <w:semiHidden/>
    <w:unhideWhenUsed/>
    <w:rsid w:val="00F82D3E"/>
    <w:rPr>
      <w:color w:val="605E5C"/>
      <w:shd w:val="clear" w:color="auto" w:fill="E1DFDD"/>
    </w:rPr>
  </w:style>
  <w:style w:type="paragraph" w:styleId="FootnoteText">
    <w:name w:val="footnote text"/>
    <w:basedOn w:val="Normal"/>
    <w:link w:val="FootnoteTextChar"/>
    <w:uiPriority w:val="99"/>
    <w:semiHidden/>
    <w:unhideWhenUsed/>
    <w:rsid w:val="007356A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356A0"/>
    <w:rPr>
      <w:sz w:val="20"/>
      <w:szCs w:val="20"/>
      <w:lang w:val="ro-RO"/>
    </w:rPr>
  </w:style>
  <w:style w:type="character" w:styleId="FootnoteReference">
    <w:name w:val="footnote reference"/>
    <w:basedOn w:val="DefaultParagraphFont"/>
    <w:uiPriority w:val="99"/>
    <w:semiHidden/>
    <w:unhideWhenUsed/>
    <w:rsid w:val="007356A0"/>
    <w:rPr>
      <w:vertAlign w:val="superscript"/>
    </w:rPr>
  </w:style>
  <w:style w:type="table" w:styleId="TableGrid">
    <w:name w:val="Table Grid"/>
    <w:basedOn w:val="TableNormal"/>
    <w:uiPriority w:val="39"/>
    <w:rsid w:val="0049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6863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8D26D05D9E76784389331D128FBB662F" ma:contentTypeVersion="13" ma:contentTypeDescription="Create a new document." ma:contentTypeScope="" ma:versionID="aa7b00d4fc9924479920d45b093c3923">
  <xsd:schema xmlns:xsd="http://www.w3.org/2001/XMLSchema" xmlns:xs="http://www.w3.org/2001/XMLSchema" xmlns:p="http://schemas.microsoft.com/office/2006/metadata/properties" xmlns:ns2="97e8b437-35a7-403d-b441-9a58c785291c" xmlns:ns3="3a9c51b2-9e0f-4bc2-9910-ef1614313984" targetNamespace="http://schemas.microsoft.com/office/2006/metadata/properties" ma:root="true" ma:fieldsID="8df4d6c9d67df2a7010cd82a0efc94be" ns2:_="" ns3:_="">
    <xsd:import namespace="97e8b437-35a7-403d-b441-9a58c785291c"/>
    <xsd:import namespace="3a9c51b2-9e0f-4bc2-9910-ef161431398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e8b437-35a7-403d-b441-9a58c785291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0cc17bb8-df06-404a-a18d-317c62483c6c}" ma:internalName="TaxCatchAll" ma:showField="CatchAllData" ma:web="97e8b437-35a7-403d-b441-9a58c785291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a9c51b2-9e0f-4bc2-9910-ef161431398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7bde53e-b0a2-4e98-8550-8a152603f3a2"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97e8b437-35a7-403d-b441-9a58c785291c">QP7NQZXQQSD7-1904786271-9238</_dlc_DocId>
    <_dlc_DocIdUrl xmlns="97e8b437-35a7-403d-b441-9a58c785291c">
      <Url>https://polpwc.sharepoint.com/sites/RO-SD-0AHqHpEZjmCD5Uk9PVA/_layouts/15/DocIdRedir.aspx?ID=QP7NQZXQQSD7-1904786271-9238</Url>
      <Description>QP7NQZXQQSD7-1904786271-9238</Description>
    </_dlc_DocIdUrl>
    <lcf76f155ced4ddcb4097134ff3c332f xmlns="3a9c51b2-9e0f-4bc2-9910-ef1614313984">
      <Terms xmlns="http://schemas.microsoft.com/office/infopath/2007/PartnerControls"/>
    </lcf76f155ced4ddcb4097134ff3c332f>
    <TaxCatchAll xmlns="97e8b437-35a7-403d-b441-9a58c785291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B0CE31-1F79-44CA-8FD9-0F4C9D12007D}">
  <ds:schemaRefs>
    <ds:schemaRef ds:uri="http://schemas.microsoft.com/sharepoint/events"/>
  </ds:schemaRefs>
</ds:datastoreItem>
</file>

<file path=customXml/itemProps2.xml><?xml version="1.0" encoding="utf-8"?>
<ds:datastoreItem xmlns:ds="http://schemas.openxmlformats.org/officeDocument/2006/customXml" ds:itemID="{BC266631-714F-4297-9A42-F7CEA9B111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e8b437-35a7-403d-b441-9a58c785291c"/>
    <ds:schemaRef ds:uri="3a9c51b2-9e0f-4bc2-9910-ef16143139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A65A98-D4EB-4A41-AEDC-012099A29EDA}">
  <ds:schemaRefs>
    <ds:schemaRef ds:uri="http://schemas.microsoft.com/office/2006/metadata/properties"/>
    <ds:schemaRef ds:uri="http://schemas.microsoft.com/office/infopath/2007/PartnerControls"/>
    <ds:schemaRef ds:uri="97e8b437-35a7-403d-b441-9a58c785291c"/>
    <ds:schemaRef ds:uri="3a9c51b2-9e0f-4bc2-9910-ef1614313984"/>
  </ds:schemaRefs>
</ds:datastoreItem>
</file>

<file path=customXml/itemProps4.xml><?xml version="1.0" encoding="utf-8"?>
<ds:datastoreItem xmlns:ds="http://schemas.openxmlformats.org/officeDocument/2006/customXml" ds:itemID="{2A3748C8-7139-438F-BEC6-B94656F5BB3B}">
  <ds:schemaRefs>
    <ds:schemaRef ds:uri="http://schemas.openxmlformats.org/officeDocument/2006/bibliography"/>
  </ds:schemaRefs>
</ds:datastoreItem>
</file>

<file path=customXml/itemProps5.xml><?xml version="1.0" encoding="utf-8"?>
<ds:datastoreItem xmlns:ds="http://schemas.openxmlformats.org/officeDocument/2006/customXml" ds:itemID="{8877F003-770B-4FFC-B8BF-DBCC766C7C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596</Words>
  <Characters>3452</Characters>
  <Application>Microsoft Office Word</Application>
  <DocSecurity>0</DocSecurity>
  <Lines>62</Lines>
  <Paragraphs>11</Paragraphs>
  <ScaleCrop>false</ScaleCrop>
  <Company/>
  <LinksUpToDate>false</LinksUpToDate>
  <CharactersWithSpaces>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D&amp;B</dc:creator>
  <cp:keywords/>
  <dc:description/>
  <cp:lastModifiedBy>D&amp;B David si Baias</cp:lastModifiedBy>
  <cp:revision>18</cp:revision>
  <dcterms:created xsi:type="dcterms:W3CDTF">2024-03-13T10:57:00Z</dcterms:created>
  <dcterms:modified xsi:type="dcterms:W3CDTF">2026-07-23T08:07:00Z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0x0101008D26D05D9E76784389331D128FBB662F</vt:lpwstr>
  </property>
  <property fmtid="{D5CDD505-2E9C-101B-9397-08002B2CF9AE}" pid="3" name="Order">
    <vt:r8>1900</vt:r8>
  </property>
  <property fmtid="{D5CDD505-2E9C-101B-9397-08002B2CF9AE}" pid="4" name="_dlc_DocIdItemGuid">
    <vt:lpwstr>3d4994d7-aa5e-4e28-94a2-a4cc8658a144</vt:lpwstr>
  </property>
  <property fmtid="{D5CDD505-2E9C-101B-9397-08002B2CF9AE}" pid="5" name="MediaServiceImageTags">
    <vt:lpwstr/>
  </property>
</Properties>
</file>